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AD49A" w14:textId="41F7921F" w:rsidR="00A71646" w:rsidRDefault="006556CC" w:rsidP="00A71646">
      <w:pPr>
        <w:spacing w:after="0"/>
        <w:rPr>
          <w:rFonts w:ascii="Century Gothic" w:eastAsia="Calibri" w:hAnsi="Century Gothic" w:cs="Arial"/>
          <w:b/>
          <w:sz w:val="32"/>
          <w:szCs w:val="32"/>
          <w:u w:val="single"/>
        </w:rPr>
      </w:pPr>
      <w:r w:rsidRPr="006556CC">
        <w:rPr>
          <w:rFonts w:ascii="Century Gothic" w:eastAsia="Calibri" w:hAnsi="Century Gothic" w:cs="Arial"/>
          <w:b/>
        </w:rPr>
        <w:t xml:space="preserve">                               </w:t>
      </w:r>
      <w:r>
        <w:rPr>
          <w:rFonts w:ascii="Century Gothic" w:eastAsia="Calibri" w:hAnsi="Century Gothic" w:cs="Arial"/>
          <w:b/>
        </w:rPr>
        <w:t xml:space="preserve">                             </w:t>
      </w:r>
      <w:r w:rsidRPr="006556CC">
        <w:rPr>
          <w:rFonts w:ascii="Century Gothic" w:eastAsia="Calibri" w:hAnsi="Century Gothic" w:cs="Arial"/>
          <w:b/>
        </w:rPr>
        <w:t xml:space="preserve">  </w:t>
      </w:r>
      <w:r w:rsidRPr="00FE1A05">
        <w:rPr>
          <w:rFonts w:ascii="Century Gothic" w:eastAsia="Calibri" w:hAnsi="Century Gothic" w:cs="Arial"/>
          <w:b/>
          <w:sz w:val="40"/>
          <w:szCs w:val="32"/>
          <w:u w:val="single"/>
        </w:rPr>
        <w:t>COMUNICADO</w:t>
      </w:r>
      <w:r w:rsidRPr="00FE1A05">
        <w:rPr>
          <w:rFonts w:ascii="Century Gothic" w:eastAsia="Calibri" w:hAnsi="Century Gothic" w:cs="Arial"/>
          <w:b/>
          <w:sz w:val="32"/>
          <w:szCs w:val="32"/>
          <w:u w:val="single"/>
        </w:rPr>
        <w:t xml:space="preserve"> </w:t>
      </w:r>
    </w:p>
    <w:p w14:paraId="51AD916B" w14:textId="1A696281" w:rsidR="006820A5" w:rsidRPr="006820A5" w:rsidRDefault="006820A5" w:rsidP="006820A5">
      <w:pPr>
        <w:spacing w:after="0"/>
        <w:ind w:left="567" w:right="142"/>
        <w:jc w:val="center"/>
        <w:rPr>
          <w:rFonts w:ascii="Arial Rounded MT Bold" w:eastAsia="Calibri" w:hAnsi="Arial Rounded MT Bold" w:cs="Arial"/>
          <w:b/>
          <w:sz w:val="24"/>
          <w:szCs w:val="24"/>
          <w:u w:val="single"/>
        </w:rPr>
      </w:pPr>
      <w:r w:rsidRPr="006820A5">
        <w:rPr>
          <w:rFonts w:ascii="Arial Rounded MT Bold" w:hAnsi="Arial Rounded MT Bold" w:cs="Arial"/>
          <w:sz w:val="24"/>
          <w:szCs w:val="24"/>
          <w:lang w:eastAsia="es-ES_tradnl"/>
        </w:rPr>
        <w:t>RM No 067-2021- MINEDU, la RM No 120-2018-MINEDU, el Decreto Supremo No 001-2023-MINEDU y Oficio No 01797-2023-MINEDU/VNGP- DIGEDD-DITEN</w:t>
      </w:r>
    </w:p>
    <w:p w14:paraId="384AE56C" w14:textId="77777777" w:rsidR="00FE1A05" w:rsidRPr="00FE1A05" w:rsidRDefault="00FE1A05" w:rsidP="00A71646">
      <w:pPr>
        <w:spacing w:after="0"/>
        <w:rPr>
          <w:rFonts w:ascii="Century Gothic" w:eastAsia="Calibri" w:hAnsi="Century Gothic" w:cs="Arial"/>
          <w:b/>
          <w:sz w:val="32"/>
          <w:szCs w:val="32"/>
        </w:rPr>
      </w:pPr>
    </w:p>
    <w:p w14:paraId="2C503308" w14:textId="77777777" w:rsidR="00A71646" w:rsidRPr="006556CC" w:rsidRDefault="00A71646" w:rsidP="00A71646">
      <w:pPr>
        <w:spacing w:after="0"/>
        <w:rPr>
          <w:rFonts w:ascii="Century Gothic" w:eastAsia="Calibri" w:hAnsi="Century Gothic" w:cs="Arial"/>
          <w:b/>
          <w:sz w:val="10"/>
        </w:rPr>
      </w:pPr>
    </w:p>
    <w:p w14:paraId="1BC288BC" w14:textId="77777777" w:rsidR="00A71646" w:rsidRPr="0023483B" w:rsidRDefault="00A71646" w:rsidP="00A71646">
      <w:pPr>
        <w:spacing w:after="0" w:line="240" w:lineRule="auto"/>
        <w:ind w:firstLine="709"/>
        <w:jc w:val="both"/>
        <w:rPr>
          <w:rFonts w:ascii="Century Gothic" w:eastAsia="Batang" w:hAnsi="Century Gothic" w:cs="Arial"/>
          <w:bCs/>
          <w:sz w:val="10"/>
          <w:lang w:eastAsia="es-ES_tradnl"/>
        </w:rPr>
      </w:pPr>
    </w:p>
    <w:p w14:paraId="399B6CFE" w14:textId="5D57AEB4" w:rsidR="00FB76B5" w:rsidRDefault="006556CC" w:rsidP="00FB76B5">
      <w:pPr>
        <w:pStyle w:val="Sinespaciado"/>
        <w:ind w:left="851" w:right="283"/>
        <w:jc w:val="both"/>
        <w:rPr>
          <w:rFonts w:ascii="Arial" w:hAnsi="Arial" w:cs="Arial"/>
          <w:sz w:val="36"/>
          <w:szCs w:val="36"/>
          <w:lang w:eastAsia="es-ES_tradnl"/>
        </w:rPr>
      </w:pPr>
      <w:r w:rsidRPr="0029569A">
        <w:rPr>
          <w:rFonts w:ascii="Arial" w:hAnsi="Arial" w:cs="Arial"/>
          <w:sz w:val="36"/>
          <w:szCs w:val="36"/>
          <w:lang w:eastAsia="es-ES_tradnl"/>
        </w:rPr>
        <w:t>Se comunica a los postulantes al Proceso de Contratación de Técnicos Deportivos</w:t>
      </w:r>
      <w:r w:rsidR="0029569A" w:rsidRPr="0029569A">
        <w:rPr>
          <w:rFonts w:ascii="Arial" w:hAnsi="Arial" w:cs="Arial"/>
          <w:sz w:val="36"/>
          <w:szCs w:val="36"/>
          <w:lang w:eastAsia="es-ES_tradnl"/>
        </w:rPr>
        <w:t xml:space="preserve"> y Promotores Culturales, </w:t>
      </w:r>
      <w:r w:rsidR="006820A5">
        <w:rPr>
          <w:rFonts w:ascii="Arial" w:hAnsi="Arial" w:cs="Arial"/>
          <w:sz w:val="36"/>
          <w:szCs w:val="36"/>
          <w:lang w:eastAsia="es-ES_tradnl"/>
        </w:rPr>
        <w:t>en el marco de las normas técnicas, establece</w:t>
      </w:r>
      <w:r w:rsidR="00FB76B5">
        <w:rPr>
          <w:rFonts w:ascii="Arial" w:hAnsi="Arial" w:cs="Arial"/>
          <w:sz w:val="36"/>
          <w:szCs w:val="36"/>
          <w:lang w:eastAsia="es-ES_tradnl"/>
        </w:rPr>
        <w:t xml:space="preserve"> que</w:t>
      </w:r>
      <w:r w:rsidR="006820A5">
        <w:rPr>
          <w:rFonts w:ascii="Arial" w:hAnsi="Arial" w:cs="Arial"/>
          <w:sz w:val="36"/>
          <w:szCs w:val="36"/>
          <w:lang w:eastAsia="es-ES_tradnl"/>
        </w:rPr>
        <w:t>: N</w:t>
      </w:r>
      <w:r w:rsidR="00FB76B5" w:rsidRPr="00FB76B5">
        <w:rPr>
          <w:rFonts w:ascii="Arial" w:hAnsi="Arial" w:cs="Arial"/>
          <w:sz w:val="36"/>
          <w:szCs w:val="36"/>
          <w:lang w:eastAsia="es-ES_tradnl"/>
        </w:rPr>
        <w:t>o está</w:t>
      </w:r>
      <w:r w:rsidR="006820A5">
        <w:rPr>
          <w:rFonts w:ascii="Arial" w:hAnsi="Arial" w:cs="Arial"/>
          <w:sz w:val="36"/>
          <w:szCs w:val="36"/>
          <w:lang w:eastAsia="es-ES_tradnl"/>
        </w:rPr>
        <w:t xml:space="preserve"> </w:t>
      </w:r>
      <w:r w:rsidR="00FB76B5" w:rsidRPr="00FB76B5">
        <w:rPr>
          <w:rFonts w:ascii="Arial" w:hAnsi="Arial" w:cs="Arial"/>
          <w:sz w:val="36"/>
          <w:szCs w:val="36"/>
          <w:lang w:eastAsia="es-ES_tradnl"/>
        </w:rPr>
        <w:t>permitida la doble percepción de ingresos en plazas orgánicas, eventuales y de reemplazo</w:t>
      </w:r>
      <w:r w:rsidR="006820A5">
        <w:rPr>
          <w:rFonts w:ascii="Arial" w:hAnsi="Arial" w:cs="Arial"/>
          <w:sz w:val="36"/>
          <w:szCs w:val="36"/>
          <w:lang w:eastAsia="es-ES_tradnl"/>
        </w:rPr>
        <w:t xml:space="preserve">; </w:t>
      </w:r>
      <w:r w:rsidR="00FB76B5" w:rsidRPr="00FB76B5">
        <w:rPr>
          <w:rFonts w:ascii="Arial" w:hAnsi="Arial" w:cs="Arial"/>
          <w:sz w:val="36"/>
          <w:szCs w:val="36"/>
          <w:lang w:eastAsia="es-ES_tradnl"/>
        </w:rPr>
        <w:t xml:space="preserve">en consecuencia, solo </w:t>
      </w:r>
      <w:r w:rsidR="006820A5" w:rsidRPr="00FB76B5">
        <w:rPr>
          <w:rFonts w:ascii="Arial" w:hAnsi="Arial" w:cs="Arial"/>
          <w:sz w:val="36"/>
          <w:szCs w:val="36"/>
          <w:lang w:eastAsia="es-ES_tradnl"/>
        </w:rPr>
        <w:t>podrán</w:t>
      </w:r>
      <w:r w:rsidR="00FB76B5" w:rsidRPr="00FB76B5">
        <w:rPr>
          <w:rFonts w:ascii="Arial" w:hAnsi="Arial" w:cs="Arial"/>
          <w:sz w:val="36"/>
          <w:szCs w:val="36"/>
          <w:lang w:eastAsia="es-ES_tradnl"/>
        </w:rPr>
        <w:t xml:space="preserve"> adjudicarse </w:t>
      </w:r>
      <w:r w:rsidR="006820A5">
        <w:rPr>
          <w:rFonts w:ascii="Arial" w:hAnsi="Arial" w:cs="Arial"/>
          <w:sz w:val="36"/>
          <w:szCs w:val="36"/>
          <w:lang w:eastAsia="es-ES_tradnl"/>
        </w:rPr>
        <w:t xml:space="preserve">de manera excepcional, </w:t>
      </w:r>
      <w:r w:rsidR="00FB76B5" w:rsidRPr="00FB76B5">
        <w:rPr>
          <w:rFonts w:ascii="Arial" w:hAnsi="Arial" w:cs="Arial"/>
          <w:sz w:val="36"/>
          <w:szCs w:val="36"/>
          <w:lang w:eastAsia="es-ES_tradnl"/>
        </w:rPr>
        <w:t>por doble</w:t>
      </w:r>
      <w:r w:rsidR="00FB76B5">
        <w:rPr>
          <w:rFonts w:ascii="Arial" w:hAnsi="Arial" w:cs="Arial"/>
          <w:sz w:val="36"/>
          <w:szCs w:val="36"/>
          <w:lang w:eastAsia="es-ES_tradnl"/>
        </w:rPr>
        <w:t xml:space="preserve"> </w:t>
      </w:r>
      <w:r w:rsidR="00FB76B5" w:rsidRPr="00FB76B5">
        <w:rPr>
          <w:rFonts w:ascii="Arial" w:hAnsi="Arial" w:cs="Arial"/>
          <w:sz w:val="36"/>
          <w:szCs w:val="36"/>
          <w:lang w:eastAsia="es-ES_tradnl"/>
        </w:rPr>
        <w:t>percepción hasta 20 horas pedagógicas.</w:t>
      </w:r>
      <w:r w:rsidR="00FB76B5">
        <w:rPr>
          <w:rFonts w:ascii="Arial" w:hAnsi="Arial" w:cs="Arial"/>
          <w:sz w:val="36"/>
          <w:szCs w:val="36"/>
          <w:lang w:eastAsia="es-ES_tradnl"/>
        </w:rPr>
        <w:t xml:space="preserve"> </w:t>
      </w:r>
    </w:p>
    <w:p w14:paraId="07D62209" w14:textId="77777777" w:rsidR="007A7EFB" w:rsidRDefault="007A7EFB" w:rsidP="00FB76B5">
      <w:pPr>
        <w:pStyle w:val="Sinespaciado"/>
        <w:ind w:left="851" w:right="283"/>
        <w:jc w:val="both"/>
        <w:rPr>
          <w:rFonts w:ascii="Arial" w:hAnsi="Arial" w:cs="Arial"/>
          <w:sz w:val="36"/>
          <w:szCs w:val="36"/>
          <w:lang w:eastAsia="es-ES_tradnl"/>
        </w:rPr>
      </w:pPr>
    </w:p>
    <w:p w14:paraId="1A99C67E" w14:textId="5B8889CB" w:rsidR="00FB76B5" w:rsidRDefault="007A7EFB" w:rsidP="007A7EFB">
      <w:pPr>
        <w:pStyle w:val="Sinespaciado"/>
        <w:ind w:left="851" w:right="283"/>
        <w:jc w:val="both"/>
        <w:rPr>
          <w:rFonts w:ascii="Arial" w:hAnsi="Arial" w:cs="Arial"/>
          <w:sz w:val="36"/>
          <w:szCs w:val="36"/>
          <w:lang w:eastAsia="es-ES_tradnl"/>
        </w:rPr>
      </w:pPr>
      <w:r w:rsidRPr="007A7EFB">
        <w:rPr>
          <w:rFonts w:ascii="Arial" w:hAnsi="Arial" w:cs="Arial"/>
          <w:sz w:val="36"/>
          <w:szCs w:val="36"/>
          <w:lang w:eastAsia="es-ES_tradnl"/>
        </w:rPr>
        <w:t>Para la adjudicación del postulante, el Comité de Evaluación verificará</w:t>
      </w:r>
      <w:r>
        <w:rPr>
          <w:rFonts w:ascii="Arial" w:hAnsi="Arial" w:cs="Arial"/>
          <w:sz w:val="36"/>
          <w:szCs w:val="36"/>
          <w:lang w:eastAsia="es-ES_tradnl"/>
        </w:rPr>
        <w:t xml:space="preserve">, </w:t>
      </w:r>
      <w:r w:rsidRPr="007A7EFB">
        <w:rPr>
          <w:rFonts w:ascii="Arial" w:hAnsi="Arial" w:cs="Arial"/>
          <w:sz w:val="36"/>
          <w:szCs w:val="36"/>
          <w:lang w:eastAsia="es-ES_tradnl"/>
        </w:rPr>
        <w:t xml:space="preserve">que el </w:t>
      </w:r>
      <w:r w:rsidR="00D0074A">
        <w:rPr>
          <w:rFonts w:ascii="Arial" w:hAnsi="Arial" w:cs="Arial"/>
          <w:sz w:val="36"/>
          <w:szCs w:val="36"/>
          <w:lang w:eastAsia="es-ES_tradnl"/>
        </w:rPr>
        <w:t>postulan</w:t>
      </w:r>
      <w:r w:rsidRPr="007A7EFB">
        <w:rPr>
          <w:rFonts w:ascii="Arial" w:hAnsi="Arial" w:cs="Arial"/>
          <w:sz w:val="36"/>
          <w:szCs w:val="36"/>
          <w:lang w:eastAsia="es-ES_tradnl"/>
        </w:rPr>
        <w:t>te en cumplimiento de las disposiciones para la doble percepción</w:t>
      </w:r>
      <w:r>
        <w:rPr>
          <w:rFonts w:ascii="Arial" w:hAnsi="Arial" w:cs="Arial"/>
          <w:sz w:val="36"/>
          <w:szCs w:val="36"/>
          <w:lang w:eastAsia="es-ES_tradnl"/>
        </w:rPr>
        <w:t xml:space="preserve"> </w:t>
      </w:r>
      <w:r w:rsidRPr="007A7EFB">
        <w:rPr>
          <w:rFonts w:ascii="Arial" w:hAnsi="Arial" w:cs="Arial"/>
          <w:sz w:val="36"/>
          <w:szCs w:val="36"/>
          <w:lang w:eastAsia="es-ES_tradnl"/>
        </w:rPr>
        <w:t>acredite</w:t>
      </w:r>
      <w:r w:rsidR="00D0074A">
        <w:rPr>
          <w:rFonts w:ascii="Arial" w:hAnsi="Arial" w:cs="Arial"/>
          <w:sz w:val="36"/>
          <w:szCs w:val="36"/>
          <w:lang w:eastAsia="es-ES_tradnl"/>
        </w:rPr>
        <w:t xml:space="preserve"> documentadamente</w:t>
      </w:r>
      <w:r w:rsidRPr="007A7EFB">
        <w:rPr>
          <w:rFonts w:ascii="Arial" w:hAnsi="Arial" w:cs="Arial"/>
          <w:sz w:val="36"/>
          <w:szCs w:val="36"/>
          <w:lang w:eastAsia="es-ES_tradnl"/>
        </w:rPr>
        <w:t>, que no existe incompatibilidad horaria ni de distancia para el ejercicio</w:t>
      </w:r>
      <w:r>
        <w:rPr>
          <w:rFonts w:ascii="Arial" w:hAnsi="Arial" w:cs="Arial"/>
          <w:sz w:val="36"/>
          <w:szCs w:val="36"/>
          <w:lang w:eastAsia="es-ES_tradnl"/>
        </w:rPr>
        <w:t xml:space="preserve"> de sus funciones.  </w:t>
      </w:r>
      <w:r w:rsidRPr="007A7EFB">
        <w:rPr>
          <w:rFonts w:ascii="Arial" w:hAnsi="Arial" w:cs="Arial"/>
          <w:sz w:val="36"/>
          <w:szCs w:val="36"/>
          <w:lang w:eastAsia="es-ES_tradnl"/>
        </w:rPr>
        <w:t xml:space="preserve"> </w:t>
      </w:r>
    </w:p>
    <w:p w14:paraId="1D7B9987" w14:textId="77777777" w:rsidR="0029569A" w:rsidRDefault="0029569A" w:rsidP="0029569A">
      <w:pPr>
        <w:spacing w:after="0" w:line="240" w:lineRule="auto"/>
        <w:ind w:firstLine="708"/>
        <w:jc w:val="both"/>
        <w:rPr>
          <w:rFonts w:ascii="Century Gothic" w:eastAsia="Batang" w:hAnsi="Century Gothic" w:cs="Arial"/>
          <w:bCs/>
          <w:sz w:val="32"/>
          <w:szCs w:val="32"/>
          <w:lang w:eastAsia="es-ES_tradnl"/>
        </w:rPr>
      </w:pPr>
    </w:p>
    <w:p w14:paraId="3A024886" w14:textId="77777777" w:rsidR="00FE1A05" w:rsidRPr="00FE1A05" w:rsidRDefault="00FE1A05" w:rsidP="00A71646">
      <w:pPr>
        <w:spacing w:after="0"/>
        <w:ind w:firstLine="708"/>
        <w:rPr>
          <w:rFonts w:ascii="Century Gothic" w:hAnsi="Century Gothic" w:cs="Arial"/>
          <w:bCs/>
          <w:sz w:val="32"/>
          <w:szCs w:val="32"/>
          <w:lang w:eastAsia="es-ES_tradnl"/>
        </w:rPr>
      </w:pPr>
    </w:p>
    <w:p w14:paraId="0CDF2B02" w14:textId="48537D41" w:rsidR="00234700" w:rsidRDefault="00D65B89" w:rsidP="00A71646">
      <w:pPr>
        <w:spacing w:after="0"/>
        <w:ind w:firstLine="708"/>
        <w:rPr>
          <w:rFonts w:ascii="Century Gothic" w:hAnsi="Century Gothic" w:cs="Arial"/>
          <w:bCs/>
          <w:sz w:val="24"/>
          <w:szCs w:val="32"/>
          <w:lang w:eastAsia="es-ES_tradnl"/>
        </w:rPr>
      </w:pPr>
      <w:r>
        <w:rPr>
          <w:rFonts w:ascii="Century Gothic" w:hAnsi="Century Gothic" w:cs="Arial"/>
          <w:bCs/>
          <w:sz w:val="32"/>
          <w:szCs w:val="32"/>
          <w:lang w:eastAsia="es-ES_tradnl"/>
        </w:rPr>
        <w:object w:dxaOrig="1543" w:dyaOrig="1000" w14:anchorId="2244E6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741157675" r:id="rId7"/>
        </w:object>
      </w:r>
      <w:r w:rsidR="00234700">
        <w:rPr>
          <w:rFonts w:ascii="Century Gothic" w:hAnsi="Century Gothic" w:cs="Arial"/>
          <w:bCs/>
          <w:sz w:val="32"/>
          <w:szCs w:val="32"/>
          <w:lang w:eastAsia="es-ES_tradnl"/>
        </w:rPr>
        <w:object w:dxaOrig="1543" w:dyaOrig="1000" w14:anchorId="7D97A509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741157676" r:id="rId9"/>
        </w:object>
      </w:r>
    </w:p>
    <w:p w14:paraId="04A51B78" w14:textId="5A796153" w:rsidR="00A71646" w:rsidRPr="00FE1A05" w:rsidRDefault="007A7EFB" w:rsidP="00A71646">
      <w:pPr>
        <w:spacing w:after="0"/>
        <w:ind w:firstLine="708"/>
        <w:rPr>
          <w:rFonts w:ascii="Century Gothic" w:hAnsi="Century Gothic" w:cs="Arial"/>
          <w:bCs/>
          <w:sz w:val="32"/>
          <w:szCs w:val="32"/>
          <w:lang w:eastAsia="es-ES_tradnl"/>
        </w:rPr>
      </w:pPr>
      <w:r w:rsidRPr="00234700">
        <w:rPr>
          <w:rFonts w:ascii="Century Gothic" w:hAnsi="Century Gothic" w:cs="Arial"/>
          <w:bCs/>
          <w:sz w:val="24"/>
          <w:szCs w:val="32"/>
          <w:lang w:eastAsia="es-ES_tradnl"/>
        </w:rPr>
        <w:t xml:space="preserve"> </w:t>
      </w:r>
      <w:r w:rsidR="00A71646" w:rsidRPr="00234700">
        <w:rPr>
          <w:rFonts w:ascii="Century Gothic" w:hAnsi="Century Gothic" w:cs="Arial"/>
          <w:bCs/>
          <w:sz w:val="24"/>
          <w:szCs w:val="32"/>
          <w:lang w:eastAsia="es-ES_tradnl"/>
        </w:rPr>
        <w:t>Atentamente</w:t>
      </w:r>
      <w:r w:rsidR="00A71646" w:rsidRPr="00FE1A05">
        <w:rPr>
          <w:rFonts w:ascii="Century Gothic" w:hAnsi="Century Gothic" w:cs="Arial"/>
          <w:bCs/>
          <w:sz w:val="32"/>
          <w:szCs w:val="32"/>
          <w:lang w:eastAsia="es-ES_tradnl"/>
        </w:rPr>
        <w:t>,</w:t>
      </w:r>
      <w:r w:rsidR="00234700" w:rsidRPr="00FE1A05">
        <w:rPr>
          <w:rFonts w:ascii="Century Gothic" w:hAnsi="Century Gothic" w:cs="Arial"/>
          <w:bCs/>
          <w:sz w:val="32"/>
          <w:szCs w:val="32"/>
          <w:lang w:eastAsia="es-ES_tradnl"/>
        </w:rPr>
        <w:t xml:space="preserve"> </w:t>
      </w:r>
    </w:p>
    <w:p w14:paraId="4D1B7574" w14:textId="77777777" w:rsidR="00A71646" w:rsidRPr="00FE1A05" w:rsidRDefault="00A71646" w:rsidP="00A71646">
      <w:pPr>
        <w:spacing w:after="0"/>
        <w:jc w:val="both"/>
        <w:rPr>
          <w:rFonts w:ascii="Century Gothic" w:hAnsi="Century Gothic" w:cs="Arial"/>
          <w:bCs/>
          <w:sz w:val="32"/>
          <w:szCs w:val="32"/>
          <w:lang w:eastAsia="es-ES_tradnl"/>
        </w:rPr>
      </w:pPr>
    </w:p>
    <w:p w14:paraId="17C2BAA3" w14:textId="642F2776" w:rsidR="00B570FE" w:rsidRDefault="00FE1A05" w:rsidP="00A71646">
      <w:pPr>
        <w:spacing w:after="0"/>
        <w:jc w:val="both"/>
        <w:rPr>
          <w:rFonts w:ascii="Century Gothic" w:hAnsi="Century Gothic" w:cs="Arial"/>
          <w:bCs/>
          <w:sz w:val="32"/>
          <w:szCs w:val="32"/>
          <w:lang w:eastAsia="es-ES_tradnl"/>
        </w:rPr>
      </w:pPr>
      <w:r w:rsidRPr="00FE1A05">
        <w:rPr>
          <w:rFonts w:ascii="Century Gothic" w:hAnsi="Century Gothic" w:cs="Arial"/>
          <w:bCs/>
          <w:sz w:val="32"/>
          <w:szCs w:val="32"/>
          <w:lang w:eastAsia="es-ES_tradnl"/>
        </w:rPr>
        <w:t xml:space="preserve">               </w:t>
      </w:r>
      <w:r>
        <w:rPr>
          <w:rFonts w:ascii="Century Gothic" w:hAnsi="Century Gothic" w:cs="Arial"/>
          <w:bCs/>
          <w:sz w:val="32"/>
          <w:szCs w:val="32"/>
          <w:lang w:eastAsia="es-ES_tradnl"/>
        </w:rPr>
        <w:t xml:space="preserve">   </w:t>
      </w:r>
      <w:r w:rsidR="006820A5">
        <w:rPr>
          <w:rFonts w:ascii="Century Gothic" w:hAnsi="Century Gothic" w:cs="Arial"/>
          <w:bCs/>
          <w:sz w:val="32"/>
          <w:szCs w:val="32"/>
          <w:lang w:eastAsia="es-ES_tradnl"/>
        </w:rPr>
        <w:t xml:space="preserve">                                                  </w:t>
      </w:r>
      <w:r w:rsidRPr="00FE1A05">
        <w:rPr>
          <w:rFonts w:ascii="Century Gothic" w:hAnsi="Century Gothic" w:cs="Arial"/>
          <w:bCs/>
          <w:sz w:val="32"/>
          <w:szCs w:val="32"/>
          <w:lang w:eastAsia="es-ES_tradnl"/>
        </w:rPr>
        <w:t xml:space="preserve"> </w:t>
      </w:r>
      <w:r w:rsidR="006820A5">
        <w:rPr>
          <w:rFonts w:ascii="Century Gothic" w:hAnsi="Century Gothic" w:cs="Arial"/>
          <w:bCs/>
          <w:sz w:val="32"/>
          <w:szCs w:val="32"/>
          <w:lang w:eastAsia="es-ES_tradnl"/>
        </w:rPr>
        <w:t xml:space="preserve">La Comisión </w:t>
      </w:r>
    </w:p>
    <w:p w14:paraId="479D7335" w14:textId="77777777" w:rsidR="007A7EFB" w:rsidRDefault="007A7EFB" w:rsidP="00A71646">
      <w:pPr>
        <w:spacing w:after="0"/>
        <w:jc w:val="both"/>
        <w:rPr>
          <w:rFonts w:ascii="Century Gothic" w:hAnsi="Century Gothic" w:cs="Arial"/>
          <w:bCs/>
          <w:sz w:val="32"/>
          <w:szCs w:val="32"/>
          <w:lang w:eastAsia="es-ES_tradnl"/>
        </w:rPr>
      </w:pPr>
    </w:p>
    <w:p w14:paraId="6E1B7DC0" w14:textId="2FB41301" w:rsidR="007A7EFB" w:rsidRDefault="007A7EFB" w:rsidP="00A71646">
      <w:pPr>
        <w:spacing w:after="0"/>
        <w:jc w:val="both"/>
        <w:rPr>
          <w:rFonts w:ascii="Century Gothic" w:hAnsi="Century Gothic" w:cs="Arial"/>
          <w:bCs/>
          <w:sz w:val="32"/>
          <w:szCs w:val="32"/>
          <w:lang w:eastAsia="es-ES_tradnl"/>
        </w:rPr>
      </w:pPr>
    </w:p>
    <w:p w14:paraId="2A49E8B4" w14:textId="6FF34F1E" w:rsidR="007A7EFB" w:rsidRPr="007A7EFB" w:rsidRDefault="007A7EFB" w:rsidP="00A71646">
      <w:pPr>
        <w:spacing w:after="0"/>
        <w:jc w:val="both"/>
        <w:rPr>
          <w:rFonts w:ascii="Century Gothic" w:hAnsi="Century Gothic" w:cs="Arial"/>
          <w:bCs/>
          <w:lang w:eastAsia="es-ES_tradnl"/>
        </w:rPr>
      </w:pPr>
      <w:r>
        <w:rPr>
          <w:rFonts w:ascii="Century Gothic" w:hAnsi="Century Gothic" w:cs="Arial"/>
          <w:bCs/>
          <w:sz w:val="32"/>
          <w:szCs w:val="32"/>
          <w:lang w:eastAsia="es-ES_tradnl"/>
        </w:rPr>
        <w:tab/>
      </w:r>
      <w:r>
        <w:rPr>
          <w:rFonts w:ascii="Century Gothic" w:hAnsi="Century Gothic" w:cs="Arial"/>
          <w:bCs/>
          <w:sz w:val="32"/>
          <w:szCs w:val="32"/>
          <w:lang w:eastAsia="es-ES_tradnl"/>
        </w:rPr>
        <w:tab/>
      </w:r>
      <w:r>
        <w:rPr>
          <w:rFonts w:ascii="Century Gothic" w:hAnsi="Century Gothic" w:cs="Arial"/>
          <w:bCs/>
          <w:sz w:val="32"/>
          <w:szCs w:val="32"/>
          <w:lang w:eastAsia="es-ES_tradnl"/>
        </w:rPr>
        <w:tab/>
      </w:r>
      <w:r>
        <w:rPr>
          <w:rFonts w:ascii="Century Gothic" w:hAnsi="Century Gothic" w:cs="Arial"/>
          <w:bCs/>
          <w:sz w:val="32"/>
          <w:szCs w:val="32"/>
          <w:lang w:eastAsia="es-ES_tradnl"/>
        </w:rPr>
        <w:tab/>
      </w:r>
      <w:r>
        <w:rPr>
          <w:rFonts w:ascii="Century Gothic" w:hAnsi="Century Gothic" w:cs="Arial"/>
          <w:bCs/>
          <w:sz w:val="32"/>
          <w:szCs w:val="32"/>
          <w:lang w:eastAsia="es-ES_tradnl"/>
        </w:rPr>
        <w:tab/>
      </w:r>
      <w:r>
        <w:rPr>
          <w:rFonts w:ascii="Century Gothic" w:hAnsi="Century Gothic" w:cs="Arial"/>
          <w:bCs/>
          <w:sz w:val="32"/>
          <w:szCs w:val="32"/>
          <w:lang w:eastAsia="es-ES_tradnl"/>
        </w:rPr>
        <w:tab/>
        <w:t xml:space="preserve">            </w:t>
      </w:r>
      <w:r w:rsidRPr="007A7EFB">
        <w:rPr>
          <w:rFonts w:ascii="Century Gothic" w:hAnsi="Century Gothic" w:cs="Arial"/>
          <w:bCs/>
          <w:lang w:eastAsia="es-ES_tradnl"/>
        </w:rPr>
        <w:t>La Molina 24 de marzo de 2023</w:t>
      </w:r>
    </w:p>
    <w:p w14:paraId="247EB9F6" w14:textId="77777777" w:rsidR="00A71646" w:rsidRPr="007A7EFB" w:rsidRDefault="00A71646" w:rsidP="00A71646">
      <w:pPr>
        <w:spacing w:after="0"/>
        <w:jc w:val="both"/>
        <w:rPr>
          <w:rFonts w:ascii="Century Gothic" w:hAnsi="Century Gothic" w:cs="Arial"/>
          <w:bCs/>
          <w:lang w:eastAsia="es-ES_tradnl"/>
        </w:rPr>
      </w:pPr>
    </w:p>
    <w:p w14:paraId="2CB0D56E" w14:textId="77777777" w:rsidR="00852FEA" w:rsidRPr="0023483B" w:rsidRDefault="00852FEA" w:rsidP="00D72675">
      <w:pPr>
        <w:spacing w:after="0"/>
        <w:jc w:val="center"/>
        <w:rPr>
          <w:rFonts w:ascii="Century Gothic" w:eastAsia="Times New Roman" w:hAnsi="Century Gothic" w:cs="Arial"/>
          <w:b/>
          <w:sz w:val="16"/>
          <w:szCs w:val="24"/>
          <w:u w:val="single"/>
          <w:lang w:eastAsia="es-PE"/>
        </w:rPr>
      </w:pPr>
      <w:bookmarkStart w:id="0" w:name="_GoBack"/>
      <w:bookmarkEnd w:id="0"/>
    </w:p>
    <w:sectPr w:rsidR="00852FEA" w:rsidRPr="0023483B" w:rsidSect="00BB5056">
      <w:headerReference w:type="default" r:id="rId10"/>
      <w:footerReference w:type="default" r:id="rId11"/>
      <w:pgSz w:w="11906" w:h="16838"/>
      <w:pgMar w:top="1417" w:right="1416" w:bottom="1417" w:left="1276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7C303" w14:textId="77777777" w:rsidR="00B53F80" w:rsidRDefault="00B53F80" w:rsidP="00742F01">
      <w:pPr>
        <w:spacing w:after="0" w:line="240" w:lineRule="auto"/>
      </w:pPr>
      <w:r>
        <w:separator/>
      </w:r>
    </w:p>
  </w:endnote>
  <w:endnote w:type="continuationSeparator" w:id="0">
    <w:p w14:paraId="4817E887" w14:textId="77777777" w:rsidR="00B53F80" w:rsidRDefault="00B53F80" w:rsidP="0074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206A5" w14:textId="77777777" w:rsidR="008E10A0" w:rsidRDefault="009E17B7" w:rsidP="009E17B7">
    <w:pPr>
      <w:pBdr>
        <w:left w:val="nil"/>
        <w:bottom w:val="single" w:sz="12" w:space="1" w:color="auto"/>
        <w:right w:val="nil"/>
        <w:between w:val="nil"/>
      </w:pBdr>
      <w:spacing w:after="0" w:line="240" w:lineRule="auto"/>
      <w:ind w:right="2693"/>
      <w:rPr>
        <w:rFonts w:ascii="Trebuchet MS" w:eastAsia="Trebuchet MS" w:hAnsi="Trebuchet MS" w:cs="Trebuchet MS"/>
        <w:b/>
        <w:color w:val="595959"/>
        <w:sz w:val="12"/>
        <w:szCs w:val="12"/>
      </w:rPr>
    </w:pPr>
    <w:r>
      <w:rPr>
        <w:rFonts w:ascii="Trebuchet MS" w:eastAsia="Trebuchet MS" w:hAnsi="Trebuchet MS" w:cs="Trebuchet MS"/>
        <w:b/>
        <w:noProof/>
        <w:color w:val="595959"/>
        <w:sz w:val="12"/>
        <w:szCs w:val="12"/>
        <w:lang w:eastAsia="es-PE"/>
      </w:rPr>
      <w:drawing>
        <wp:anchor distT="0" distB="0" distL="114300" distR="114300" simplePos="0" relativeHeight="251660288" behindDoc="1" locked="0" layoutInCell="1" allowOverlap="1" wp14:anchorId="28326690" wp14:editId="30955AD0">
          <wp:simplePos x="0" y="0"/>
          <wp:positionH relativeFrom="margin">
            <wp:align>right</wp:align>
          </wp:positionH>
          <wp:positionV relativeFrom="paragraph">
            <wp:posOffset>8006</wp:posOffset>
          </wp:positionV>
          <wp:extent cx="1574556" cy="608828"/>
          <wp:effectExtent l="0" t="0" r="6985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bicentenario-head-2021-2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556" cy="60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A5C275" w14:textId="77777777" w:rsidR="00A97F2A" w:rsidRPr="00A97F2A" w:rsidRDefault="00A97F2A" w:rsidP="009E17B7">
    <w:pPr>
      <w:pBdr>
        <w:left w:val="nil"/>
        <w:bottom w:val="nil"/>
        <w:right w:val="nil"/>
        <w:between w:val="nil"/>
      </w:pBdr>
      <w:spacing w:after="0" w:line="240" w:lineRule="auto"/>
      <w:ind w:right="2693"/>
      <w:rPr>
        <w:rFonts w:ascii="Trebuchet MS" w:eastAsia="Trebuchet MS" w:hAnsi="Trebuchet MS" w:cs="Trebuchet MS"/>
        <w:b/>
        <w:color w:val="595959"/>
        <w:sz w:val="12"/>
        <w:szCs w:val="12"/>
      </w:rPr>
    </w:pPr>
  </w:p>
  <w:p w14:paraId="4E21C62A" w14:textId="77777777" w:rsidR="00742F01" w:rsidRDefault="00742F01" w:rsidP="009E17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693"/>
      <w:rPr>
        <w:rFonts w:ascii="Trebuchet MS" w:eastAsia="Trebuchet MS" w:hAnsi="Trebuchet MS" w:cs="Trebuchet MS"/>
        <w:color w:val="595959"/>
        <w:sz w:val="12"/>
        <w:szCs w:val="12"/>
      </w:rPr>
    </w:pPr>
    <w:r>
      <w:rPr>
        <w:rFonts w:ascii="Trebuchet MS" w:eastAsia="Trebuchet MS" w:hAnsi="Trebuchet MS" w:cs="Trebuchet MS"/>
        <w:color w:val="595959"/>
        <w:sz w:val="12"/>
        <w:szCs w:val="12"/>
      </w:rPr>
      <w:t>Unidad de Gestión Educativa Local N° 06 – La Molina</w:t>
    </w:r>
  </w:p>
  <w:p w14:paraId="00BC13ED" w14:textId="77777777" w:rsidR="00742F01" w:rsidRDefault="00742F01" w:rsidP="009E17B7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419"/>
        <w:tab w:val="right" w:pos="8838"/>
      </w:tabs>
      <w:spacing w:after="0" w:line="240" w:lineRule="auto"/>
      <w:ind w:right="2693"/>
      <w:rPr>
        <w:rFonts w:ascii="Trebuchet MS" w:eastAsia="Trebuchet MS" w:hAnsi="Trebuchet MS" w:cs="Trebuchet MS"/>
        <w:color w:val="595959"/>
        <w:sz w:val="12"/>
        <w:szCs w:val="12"/>
      </w:rPr>
    </w:pPr>
    <w:r>
      <w:rPr>
        <w:rFonts w:ascii="Trebuchet MS" w:eastAsia="Trebuchet MS" w:hAnsi="Trebuchet MS" w:cs="Trebuchet MS"/>
        <w:color w:val="595959"/>
        <w:sz w:val="12"/>
        <w:szCs w:val="12"/>
      </w:rPr>
      <w:t>Sede Institucional: Av. La Molina 905 - La Molina (Ref. Esquina de Av. La Molina y Av. Los Constructores)</w:t>
    </w:r>
  </w:p>
  <w:p w14:paraId="4A551655" w14:textId="77777777" w:rsidR="00742F01" w:rsidRPr="00742F01" w:rsidRDefault="00742F01" w:rsidP="009E17B7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419"/>
        <w:tab w:val="right" w:pos="8838"/>
      </w:tabs>
      <w:spacing w:after="0" w:line="240" w:lineRule="auto"/>
      <w:ind w:right="2693"/>
      <w:jc w:val="both"/>
      <w:rPr>
        <w:rFonts w:ascii="Trebuchet MS" w:eastAsia="Trebuchet MS" w:hAnsi="Trebuchet MS" w:cs="Trebuchet MS"/>
        <w:color w:val="595959"/>
        <w:sz w:val="12"/>
        <w:szCs w:val="12"/>
      </w:rPr>
    </w:pPr>
    <w:r>
      <w:rPr>
        <w:rFonts w:ascii="Trebuchet MS" w:eastAsia="Trebuchet MS" w:hAnsi="Trebuchet MS" w:cs="Trebuchet MS"/>
        <w:color w:val="595959"/>
        <w:sz w:val="12"/>
        <w:szCs w:val="12"/>
      </w:rPr>
      <w:t>Matrícula y SIAGIE: 942119562 / Atención al Usuario (511) 462-6844 / Dirección (511) 351</w:t>
    </w:r>
    <w:r w:rsidR="009E17B7">
      <w:rPr>
        <w:rFonts w:ascii="Trebuchet MS" w:eastAsia="Trebuchet MS" w:hAnsi="Trebuchet MS" w:cs="Trebuchet MS"/>
        <w:color w:val="595959"/>
        <w:sz w:val="12"/>
        <w:szCs w:val="12"/>
      </w:rPr>
      <w:t xml:space="preserve">-2245 / AGEBRE (511) 494-3518 </w:t>
    </w:r>
    <w:r>
      <w:rPr>
        <w:rFonts w:ascii="Trebuchet MS" w:eastAsia="Trebuchet MS" w:hAnsi="Trebuchet MS" w:cs="Trebuchet MS"/>
        <w:color w:val="595959"/>
        <w:sz w:val="12"/>
        <w:szCs w:val="12"/>
      </w:rPr>
      <w:t>Administración (511) 494-1466 / APP (511) 494-3411 / Abastecimiento (511) 494-3515www.ugel06.gob.pe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A40B0" w14:textId="77777777" w:rsidR="00B53F80" w:rsidRDefault="00B53F80" w:rsidP="00742F01">
      <w:pPr>
        <w:spacing w:after="0" w:line="240" w:lineRule="auto"/>
      </w:pPr>
      <w:r>
        <w:separator/>
      </w:r>
    </w:p>
  </w:footnote>
  <w:footnote w:type="continuationSeparator" w:id="0">
    <w:p w14:paraId="08A4D102" w14:textId="77777777" w:rsidR="00B53F80" w:rsidRDefault="00B53F80" w:rsidP="0074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55208" w14:textId="77777777" w:rsidR="00852FEA" w:rsidRDefault="00373304" w:rsidP="00852FEA">
    <w:pPr>
      <w:pBdr>
        <w:top w:val="nil"/>
        <w:left w:val="nil"/>
        <w:bottom w:val="nil"/>
        <w:right w:val="nil"/>
        <w:between w:val="nil"/>
      </w:pBdr>
      <w:tabs>
        <w:tab w:val="left" w:pos="900"/>
        <w:tab w:val="center" w:pos="4252"/>
        <w:tab w:val="center" w:pos="4419"/>
        <w:tab w:val="right" w:pos="8838"/>
      </w:tabs>
      <w:spacing w:after="0" w:line="240" w:lineRule="auto"/>
      <w:rPr>
        <w:rFonts w:ascii="Arial" w:eastAsia="Arial" w:hAnsi="Arial" w:cs="Arial"/>
        <w:sz w:val="18"/>
        <w:szCs w:val="18"/>
      </w:rPr>
    </w:pPr>
    <w:r>
      <w:rPr>
        <w:noProof/>
        <w:lang w:eastAsia="es-PE"/>
      </w:rPr>
      <w:drawing>
        <wp:anchor distT="0" distB="0" distL="0" distR="0" simplePos="0" relativeHeight="251659264" behindDoc="1" locked="0" layoutInCell="1" hidden="0" allowOverlap="1" wp14:anchorId="77D00261" wp14:editId="01F82865">
          <wp:simplePos x="0" y="0"/>
          <wp:positionH relativeFrom="page">
            <wp:align>center</wp:align>
          </wp:positionH>
          <wp:positionV relativeFrom="paragraph">
            <wp:posOffset>-353695</wp:posOffset>
          </wp:positionV>
          <wp:extent cx="5399405" cy="467360"/>
          <wp:effectExtent l="0" t="0" r="0" b="8890"/>
          <wp:wrapNone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405" cy="467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52FEA">
      <w:rPr>
        <w:rFonts w:ascii="Arial" w:eastAsia="Arial" w:hAnsi="Arial" w:cs="Arial"/>
        <w:sz w:val="18"/>
        <w:szCs w:val="18"/>
      </w:rPr>
      <w:tab/>
    </w:r>
    <w:r w:rsidR="00852FEA" w:rsidRPr="00852FEA">
      <w:rPr>
        <w:rFonts w:ascii="Arial" w:eastAsia="Arial" w:hAnsi="Arial" w:cs="Arial"/>
        <w:sz w:val="6"/>
        <w:szCs w:val="18"/>
      </w:rPr>
      <w:tab/>
    </w:r>
  </w:p>
  <w:p w14:paraId="36E8C9DC" w14:textId="77777777" w:rsidR="00742F01" w:rsidRPr="009E17B7" w:rsidRDefault="00742F01" w:rsidP="009E17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Lucida Calligraphy" w:eastAsia="Arial" w:hAnsi="Lucida Calligraphy" w:cs="Arial"/>
        <w:color w:val="808080" w:themeColor="background1" w:themeShade="80"/>
        <w:sz w:val="16"/>
        <w:szCs w:val="18"/>
      </w:rPr>
    </w:pPr>
    <w:r w:rsidRPr="00E56BCA">
      <w:rPr>
        <w:rFonts w:ascii="Lucida Calligraphy" w:eastAsia="Arial" w:hAnsi="Lucida Calligraphy" w:cs="Arial"/>
        <w:color w:val="808080" w:themeColor="background1" w:themeShade="80"/>
        <w:sz w:val="16"/>
        <w:szCs w:val="18"/>
      </w:rPr>
      <w:t>“Decenio de la Igualdad de Oportunidades para Mujeres y Hombres 2018-2027”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F01"/>
    <w:rsid w:val="0000288E"/>
    <w:rsid w:val="00070A94"/>
    <w:rsid w:val="00092C30"/>
    <w:rsid w:val="000A6E5A"/>
    <w:rsid w:val="000B5305"/>
    <w:rsid w:val="000D02C1"/>
    <w:rsid w:val="000D29C9"/>
    <w:rsid w:val="0011675D"/>
    <w:rsid w:val="00124E92"/>
    <w:rsid w:val="00133531"/>
    <w:rsid w:val="00147DD2"/>
    <w:rsid w:val="001A5CC4"/>
    <w:rsid w:val="001A7BE8"/>
    <w:rsid w:val="001C2614"/>
    <w:rsid w:val="001D42F6"/>
    <w:rsid w:val="002327CD"/>
    <w:rsid w:val="00234700"/>
    <w:rsid w:val="0023483B"/>
    <w:rsid w:val="0026188C"/>
    <w:rsid w:val="002672ED"/>
    <w:rsid w:val="0029569A"/>
    <w:rsid w:val="002C780E"/>
    <w:rsid w:val="002D69F3"/>
    <w:rsid w:val="00307E37"/>
    <w:rsid w:val="0031185F"/>
    <w:rsid w:val="00341087"/>
    <w:rsid w:val="00356B4D"/>
    <w:rsid w:val="003634DF"/>
    <w:rsid w:val="00373304"/>
    <w:rsid w:val="00373367"/>
    <w:rsid w:val="0039200B"/>
    <w:rsid w:val="003A448B"/>
    <w:rsid w:val="003B1ADB"/>
    <w:rsid w:val="003F2C9F"/>
    <w:rsid w:val="003F7618"/>
    <w:rsid w:val="004053C6"/>
    <w:rsid w:val="00455A58"/>
    <w:rsid w:val="004611F9"/>
    <w:rsid w:val="004942C6"/>
    <w:rsid w:val="004A20A1"/>
    <w:rsid w:val="004A3C5E"/>
    <w:rsid w:val="00571C45"/>
    <w:rsid w:val="00572430"/>
    <w:rsid w:val="00593BF6"/>
    <w:rsid w:val="005B07FD"/>
    <w:rsid w:val="005F172A"/>
    <w:rsid w:val="006034D9"/>
    <w:rsid w:val="0065569F"/>
    <w:rsid w:val="006556CC"/>
    <w:rsid w:val="00660C26"/>
    <w:rsid w:val="0068005E"/>
    <w:rsid w:val="006820A5"/>
    <w:rsid w:val="006B3E45"/>
    <w:rsid w:val="006D2E99"/>
    <w:rsid w:val="006F0623"/>
    <w:rsid w:val="00721310"/>
    <w:rsid w:val="0073540A"/>
    <w:rsid w:val="00742F01"/>
    <w:rsid w:val="0075213E"/>
    <w:rsid w:val="007820B9"/>
    <w:rsid w:val="007A2266"/>
    <w:rsid w:val="007A7EFB"/>
    <w:rsid w:val="007C09BE"/>
    <w:rsid w:val="007C4B00"/>
    <w:rsid w:val="007E0E33"/>
    <w:rsid w:val="007E41D6"/>
    <w:rsid w:val="007F3198"/>
    <w:rsid w:val="007F4977"/>
    <w:rsid w:val="0080141B"/>
    <w:rsid w:val="00805805"/>
    <w:rsid w:val="00807203"/>
    <w:rsid w:val="00845CE6"/>
    <w:rsid w:val="008501DD"/>
    <w:rsid w:val="00852FEA"/>
    <w:rsid w:val="00854FE7"/>
    <w:rsid w:val="00881125"/>
    <w:rsid w:val="00895607"/>
    <w:rsid w:val="00895CBD"/>
    <w:rsid w:val="008D20E8"/>
    <w:rsid w:val="008D3F4C"/>
    <w:rsid w:val="008E10A0"/>
    <w:rsid w:val="008F3792"/>
    <w:rsid w:val="00950ADB"/>
    <w:rsid w:val="00981B0C"/>
    <w:rsid w:val="00990452"/>
    <w:rsid w:val="009B6303"/>
    <w:rsid w:val="009D2FB3"/>
    <w:rsid w:val="009E17B7"/>
    <w:rsid w:val="009E42C3"/>
    <w:rsid w:val="009F4FCE"/>
    <w:rsid w:val="00A0264C"/>
    <w:rsid w:val="00A04B78"/>
    <w:rsid w:val="00A16596"/>
    <w:rsid w:val="00A468A1"/>
    <w:rsid w:val="00A522CD"/>
    <w:rsid w:val="00A70B19"/>
    <w:rsid w:val="00A71646"/>
    <w:rsid w:val="00A97F2A"/>
    <w:rsid w:val="00AB43A4"/>
    <w:rsid w:val="00AF71C1"/>
    <w:rsid w:val="00B152DE"/>
    <w:rsid w:val="00B317A3"/>
    <w:rsid w:val="00B53F80"/>
    <w:rsid w:val="00B570FE"/>
    <w:rsid w:val="00B74F54"/>
    <w:rsid w:val="00B8210E"/>
    <w:rsid w:val="00BA1C3A"/>
    <w:rsid w:val="00BA1CAE"/>
    <w:rsid w:val="00BB5056"/>
    <w:rsid w:val="00BF1051"/>
    <w:rsid w:val="00C1582A"/>
    <w:rsid w:val="00C309E5"/>
    <w:rsid w:val="00C34623"/>
    <w:rsid w:val="00C36AB0"/>
    <w:rsid w:val="00C539EA"/>
    <w:rsid w:val="00C86543"/>
    <w:rsid w:val="00C872D7"/>
    <w:rsid w:val="00CD7A0A"/>
    <w:rsid w:val="00D0074A"/>
    <w:rsid w:val="00D048A3"/>
    <w:rsid w:val="00D3554D"/>
    <w:rsid w:val="00D62DD8"/>
    <w:rsid w:val="00D65B89"/>
    <w:rsid w:val="00D72675"/>
    <w:rsid w:val="00DC2451"/>
    <w:rsid w:val="00DE3759"/>
    <w:rsid w:val="00E15A2F"/>
    <w:rsid w:val="00E15DAE"/>
    <w:rsid w:val="00E2301A"/>
    <w:rsid w:val="00E31BD1"/>
    <w:rsid w:val="00E56BCA"/>
    <w:rsid w:val="00E67460"/>
    <w:rsid w:val="00E70ED4"/>
    <w:rsid w:val="00EB594C"/>
    <w:rsid w:val="00EC3FDD"/>
    <w:rsid w:val="00EE3096"/>
    <w:rsid w:val="00F06C22"/>
    <w:rsid w:val="00F06E98"/>
    <w:rsid w:val="00F66CCA"/>
    <w:rsid w:val="00FB76B5"/>
    <w:rsid w:val="00FC1AEE"/>
    <w:rsid w:val="00FD7EF4"/>
    <w:rsid w:val="00FE1A05"/>
    <w:rsid w:val="00FE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13973"/>
  <w15:chartTrackingRefBased/>
  <w15:docId w15:val="{DA53C229-8556-45BA-9612-CB60F0A0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F0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42F0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42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F01"/>
  </w:style>
  <w:style w:type="paragraph" w:styleId="Piedepgina">
    <w:name w:val="footer"/>
    <w:basedOn w:val="Normal"/>
    <w:link w:val="PiedepginaCar"/>
    <w:uiPriority w:val="99"/>
    <w:unhideWhenUsed/>
    <w:rsid w:val="00742F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F01"/>
  </w:style>
  <w:style w:type="table" w:styleId="Tablaconcuadrcula">
    <w:name w:val="Table Grid"/>
    <w:basedOn w:val="Tablanormal"/>
    <w:uiPriority w:val="39"/>
    <w:rsid w:val="00742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76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0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AGEBRE</dc:creator>
  <cp:keywords/>
  <dc:description/>
  <cp:lastModifiedBy>Apoypersonal MOVIMIENTO DE PERSONAL</cp:lastModifiedBy>
  <cp:revision>5</cp:revision>
  <cp:lastPrinted>2023-03-24T15:06:00Z</cp:lastPrinted>
  <dcterms:created xsi:type="dcterms:W3CDTF">2023-03-24T14:30:00Z</dcterms:created>
  <dcterms:modified xsi:type="dcterms:W3CDTF">2023-03-24T15:08:00Z</dcterms:modified>
</cp:coreProperties>
</file>